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lang w:val="en-US" w:eastAsia="zh-CN"/>
        </w:rPr>
        <w:t>保修说明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390" w:lineRule="atLeast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696969"/>
          <w:spacing w:val="0"/>
          <w:sz w:val="21"/>
          <w:szCs w:val="21"/>
        </w:rPr>
        <w:t>                             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96969"/>
          <w:spacing w:val="0"/>
          <w:szCs w:val="21"/>
        </w:rPr>
        <w:t> 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1、国产假肢产品结构件（除易损件外）正常使用下质量保修期为十二个月；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 2、进口假肢产品结构件（除易损件外）正常使用下质量保修期为三十六个月；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 3、固定用矫形器在正常使用下保修期为六个月；矫形用矫形器在正常使用下保修期为两个月；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 4、对超出假肢质量保修期的客户维修更换假肢，我中心将提供价格上的优惠，只收取换件成本费用；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 5、保修方式为来电咨询，客户送修。申请保修时，您应提供保修卡等相关保修凭证，方可获得保修。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下列情况不属于免费保修范围，敬请注意：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 1、产品或部件超过相应保修期；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 2、因意外事件、非中心技术人员修理、不适当使用等造成的故障或损坏；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 3、假肢的外装饰袜、装饰海绵、脚板等易损件不在保修范围内；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 4、儿童在穿戴假肢、矫形器后，在一年时间内因自身发育原因，使假肢、矫形器不能使用，此种情况不属于制作和质量问题，不属保修范围。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 5、由于患者自身残肢萎缩或发胖引起的假肢接受腔、矫形器不适配，不属保修范围。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67F5B"/>
    <w:rsid w:val="6AE67F5B"/>
    <w:rsid w:val="742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576" w:lineRule="auto"/>
      <w:ind w:left="0" w:leftChars="0" w:right="0" w:rightChars="0" w:firstLine="0" w:firstLineChars="0"/>
      <w:jc w:val="center"/>
      <w:outlineLvl w:val="0"/>
    </w:pPr>
    <w:rPr>
      <w:rFonts w:eastAsia="黑体" w:asciiTheme="minorAscii" w:hAnsiTheme="minorAscii"/>
      <w:b/>
      <w:kern w:val="44"/>
      <w:sz w:val="44"/>
      <w:szCs w:val="22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2017-11-30T08:48:00Z</dcterms:created>
  <dc:creator>贝拉Aglaia</dc:creator>
  <cp:lastModifiedBy>贝拉Aglaia</cp:lastModifiedBy>
  <dcterms:modified xsi:type="dcterms:W3CDTF">2018-05-18T05:41:50Z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